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C88D5" w14:textId="77777777" w:rsidR="009F24B2" w:rsidRPr="009F24B2" w:rsidRDefault="009F24B2" w:rsidP="009F24B2">
      <w:pPr>
        <w:jc w:val="center"/>
        <w:rPr>
          <w:b/>
          <w:bCs/>
          <w:sz w:val="32"/>
        </w:rPr>
      </w:pPr>
      <w:r w:rsidRPr="009F24B2">
        <w:rPr>
          <w:b/>
          <w:bCs/>
          <w:sz w:val="32"/>
        </w:rPr>
        <w:t>Fiche de présentation pour décision du Conseil communal</w:t>
      </w:r>
    </w:p>
    <w:p w14:paraId="0CEA1D56" w14:textId="73DE66C2" w:rsidR="009F24B2" w:rsidRPr="009F24B2" w:rsidRDefault="009F24B2" w:rsidP="009F24B2">
      <w:pPr>
        <w:jc w:val="center"/>
        <w:rPr>
          <w:b/>
          <w:bCs/>
          <w:sz w:val="32"/>
        </w:rPr>
      </w:pPr>
      <w:r w:rsidRPr="009F24B2">
        <w:rPr>
          <w:b/>
          <w:bCs/>
          <w:sz w:val="32"/>
        </w:rPr>
        <w:t xml:space="preserve">Lancement d’une association d’aînés intercommunale </w:t>
      </w:r>
      <w:r>
        <w:rPr>
          <w:b/>
          <w:bCs/>
          <w:sz w:val="32"/>
        </w:rPr>
        <w:br/>
      </w:r>
      <w:r w:rsidRPr="009F24B2">
        <w:rPr>
          <w:b/>
          <w:bCs/>
          <w:sz w:val="32"/>
        </w:rPr>
        <w:t>(</w:t>
      </w:r>
      <w:r>
        <w:rPr>
          <w:b/>
          <w:bCs/>
          <w:color w:val="538135" w:themeColor="accent6" w:themeShade="BF"/>
          <w:sz w:val="32"/>
        </w:rPr>
        <w:t>Les communes impliquées</w:t>
      </w:r>
      <w:r w:rsidRPr="009F24B2">
        <w:rPr>
          <w:b/>
          <w:bCs/>
          <w:sz w:val="32"/>
        </w:rPr>
        <w:t>)</w:t>
      </w:r>
    </w:p>
    <w:p w14:paraId="0C742A70" w14:textId="081259EE" w:rsidR="009F24B2" w:rsidRPr="009F24B2" w:rsidRDefault="009F24B2" w:rsidP="009F24B2">
      <w:r w:rsidRPr="009F24B2">
        <w:rPr>
          <w:i/>
          <w:iCs/>
        </w:rPr>
        <w:t>Présentée par [</w:t>
      </w:r>
      <w:r w:rsidRPr="009F24B2">
        <w:rPr>
          <w:i/>
          <w:iCs/>
          <w:color w:val="538135" w:themeColor="accent6" w:themeShade="BF"/>
        </w:rPr>
        <w:t>XXX</w:t>
      </w:r>
      <w:r w:rsidRPr="009F24B2">
        <w:rPr>
          <w:i/>
          <w:iCs/>
        </w:rPr>
        <w:t xml:space="preserve">] — </w:t>
      </w:r>
      <w:r w:rsidRPr="009F24B2">
        <w:rPr>
          <w:i/>
          <w:iCs/>
          <w:color w:val="538135" w:themeColor="accent6" w:themeShade="BF"/>
        </w:rPr>
        <w:t>Date</w:t>
      </w:r>
    </w:p>
    <w:p w14:paraId="5F8CB505" w14:textId="77777777" w:rsidR="009F24B2" w:rsidRPr="009F24B2" w:rsidRDefault="00B14980" w:rsidP="009F24B2">
      <w:r>
        <w:pict w14:anchorId="15A14A95">
          <v:rect id="_x0000_i1025" style="width:0;height:0" o:hrstd="t" o:hr="t" fillcolor="#a0a0a0" stroked="f"/>
        </w:pict>
      </w:r>
    </w:p>
    <w:p w14:paraId="340972B5" w14:textId="77777777" w:rsidR="009F24B2" w:rsidRPr="009F24B2" w:rsidRDefault="009F24B2" w:rsidP="009F24B2">
      <w:pPr>
        <w:rPr>
          <w:b/>
          <w:bCs/>
          <w:sz w:val="24"/>
        </w:rPr>
      </w:pPr>
      <w:r w:rsidRPr="009F24B2">
        <w:rPr>
          <w:b/>
          <w:bCs/>
          <w:sz w:val="24"/>
        </w:rPr>
        <w:t>1. Contexte et objectif</w:t>
      </w:r>
    </w:p>
    <w:p w14:paraId="69826730" w14:textId="13E781C7" w:rsidR="009F24B2" w:rsidRPr="009F24B2" w:rsidRDefault="009F24B2" w:rsidP="009F24B2">
      <w:r w:rsidRPr="009F24B2">
        <w:t xml:space="preserve">Dans le cadre de la politique communale en faveur du 3ᵉ âge, les communes de </w:t>
      </w:r>
      <w:r w:rsidRPr="009F24B2">
        <w:rPr>
          <w:color w:val="538135" w:themeColor="accent6" w:themeShade="BF"/>
        </w:rPr>
        <w:t xml:space="preserve">XXX </w:t>
      </w:r>
      <w:r w:rsidRPr="009F24B2">
        <w:t>souhaitent favoriser la création d’une </w:t>
      </w:r>
      <w:r w:rsidRPr="009F24B2">
        <w:rPr>
          <w:b/>
          <w:bCs/>
        </w:rPr>
        <w:t>association d’aînés intercommunale</w:t>
      </w:r>
      <w:r w:rsidRPr="009F24B2">
        <w:t>, autonome et bénévole.</w:t>
      </w:r>
    </w:p>
    <w:p w14:paraId="4ABD89AF" w14:textId="77777777" w:rsidR="009F24B2" w:rsidRPr="009F24B2" w:rsidRDefault="009F24B2" w:rsidP="009F24B2">
      <w:pPr>
        <w:spacing w:after="0"/>
      </w:pPr>
      <w:r w:rsidRPr="009F24B2">
        <w:t>L’objectif est de :</w:t>
      </w:r>
    </w:p>
    <w:p w14:paraId="6457D1F8" w14:textId="77777777" w:rsidR="009F24B2" w:rsidRPr="009F24B2" w:rsidRDefault="009F24B2" w:rsidP="009F24B2">
      <w:pPr>
        <w:numPr>
          <w:ilvl w:val="0"/>
          <w:numId w:val="1"/>
        </w:numPr>
        <w:spacing w:after="0"/>
      </w:pPr>
      <w:r w:rsidRPr="009F24B2">
        <w:t>Créer une structure locale, animée par les aînés, qui renforce la cohésion sociale ;</w:t>
      </w:r>
    </w:p>
    <w:p w14:paraId="181EF74E" w14:textId="77777777" w:rsidR="009F24B2" w:rsidRPr="009F24B2" w:rsidRDefault="009F24B2" w:rsidP="009F24B2">
      <w:pPr>
        <w:numPr>
          <w:ilvl w:val="0"/>
          <w:numId w:val="1"/>
        </w:numPr>
        <w:spacing w:after="0"/>
      </w:pPr>
      <w:r w:rsidRPr="009F24B2">
        <w:t>Mutualiser les initiatives et les ressources entre les trois communes ;</w:t>
      </w:r>
    </w:p>
    <w:p w14:paraId="77022780" w14:textId="4E1E8C13" w:rsidR="009F24B2" w:rsidRDefault="009F24B2" w:rsidP="009F24B2">
      <w:pPr>
        <w:numPr>
          <w:ilvl w:val="0"/>
          <w:numId w:val="1"/>
        </w:numPr>
        <w:spacing w:after="0"/>
      </w:pPr>
      <w:r w:rsidRPr="009F24B2">
        <w:t>S’appuyer sur un réseau régional pour des projets concrets (ex. : promenades sans obstacle, ateliers, événements).</w:t>
      </w:r>
    </w:p>
    <w:p w14:paraId="04F097F6" w14:textId="77777777" w:rsidR="009F24B2" w:rsidRPr="009F24B2" w:rsidRDefault="009F24B2" w:rsidP="009F24B2">
      <w:pPr>
        <w:spacing w:after="0"/>
        <w:ind w:left="720"/>
      </w:pPr>
    </w:p>
    <w:p w14:paraId="28B2543C" w14:textId="77777777" w:rsidR="009F24B2" w:rsidRPr="009F24B2" w:rsidRDefault="009F24B2" w:rsidP="009F24B2">
      <w:r w:rsidRPr="009F24B2">
        <w:t>Le projet démarre par une </w:t>
      </w:r>
      <w:r w:rsidRPr="009F24B2">
        <w:rPr>
          <w:b/>
          <w:bCs/>
        </w:rPr>
        <w:t>séance d’information</w:t>
      </w:r>
      <w:r w:rsidRPr="009F24B2">
        <w:t> pour identifier les intéressés, puis un </w:t>
      </w:r>
      <w:r w:rsidRPr="009F24B2">
        <w:rPr>
          <w:b/>
          <w:bCs/>
        </w:rPr>
        <w:t>pré-comité</w:t>
      </w:r>
      <w:r w:rsidRPr="009F24B2">
        <w:t> qui prépare la constitution de l’association.</w:t>
      </w:r>
    </w:p>
    <w:p w14:paraId="5C5649A7" w14:textId="77777777" w:rsidR="009F24B2" w:rsidRPr="009F24B2" w:rsidRDefault="00B14980" w:rsidP="009F24B2">
      <w:r>
        <w:pict w14:anchorId="67B6E1F6">
          <v:rect id="_x0000_i1026" style="width:0;height:0" o:hrstd="t" o:hr="t" fillcolor="#a0a0a0" stroked="f"/>
        </w:pict>
      </w:r>
    </w:p>
    <w:p w14:paraId="75546CEC" w14:textId="77777777" w:rsidR="009F24B2" w:rsidRPr="009F24B2" w:rsidRDefault="009F24B2" w:rsidP="009F24B2">
      <w:pPr>
        <w:rPr>
          <w:b/>
          <w:bCs/>
          <w:sz w:val="24"/>
        </w:rPr>
      </w:pPr>
      <w:r w:rsidRPr="009F24B2">
        <w:rPr>
          <w:b/>
          <w:bCs/>
          <w:sz w:val="24"/>
        </w:rPr>
        <w:t>2. Avantages pour les communes</w:t>
      </w:r>
    </w:p>
    <w:p w14:paraId="602C606D" w14:textId="77777777" w:rsidR="009F24B2" w:rsidRDefault="009F24B2" w:rsidP="009F24B2">
      <w:pPr>
        <w:pStyle w:val="Paragraphedeliste"/>
        <w:numPr>
          <w:ilvl w:val="0"/>
          <w:numId w:val="7"/>
        </w:numPr>
      </w:pPr>
      <w:r w:rsidRPr="009F24B2">
        <w:rPr>
          <w:b/>
          <w:bCs/>
        </w:rPr>
        <w:t>Réduction de la charge administrative</w:t>
      </w:r>
      <w:r w:rsidRPr="009F24B2">
        <w:t> : l’association prend en charge les activités, avec un soutien régional.</w:t>
      </w:r>
    </w:p>
    <w:p w14:paraId="7FF1F316" w14:textId="77777777" w:rsidR="009F24B2" w:rsidRDefault="009F24B2" w:rsidP="009F24B2">
      <w:pPr>
        <w:pStyle w:val="Paragraphedeliste"/>
        <w:numPr>
          <w:ilvl w:val="0"/>
          <w:numId w:val="7"/>
        </w:numPr>
      </w:pPr>
      <w:r w:rsidRPr="009F24B2">
        <w:rPr>
          <w:b/>
          <w:bCs/>
        </w:rPr>
        <w:t>Engagement citoyen</w:t>
      </w:r>
      <w:r w:rsidRPr="009F24B2">
        <w:t> : valorisation du bénévolat et de la participation des aînés.</w:t>
      </w:r>
    </w:p>
    <w:p w14:paraId="6AB6683D" w14:textId="77777777" w:rsidR="009F24B2" w:rsidRDefault="009F24B2" w:rsidP="009F24B2">
      <w:pPr>
        <w:pStyle w:val="Paragraphedeliste"/>
        <w:numPr>
          <w:ilvl w:val="0"/>
          <w:numId w:val="7"/>
        </w:numPr>
      </w:pPr>
      <w:r w:rsidRPr="009F24B2">
        <w:rPr>
          <w:b/>
          <w:bCs/>
        </w:rPr>
        <w:t>Économies</w:t>
      </w:r>
      <w:r w:rsidRPr="009F24B2">
        <w:t> : mutualisation des coûts (salle, communication, matériel).</w:t>
      </w:r>
    </w:p>
    <w:p w14:paraId="307502EB" w14:textId="77777777" w:rsidR="009F24B2" w:rsidRDefault="009F24B2" w:rsidP="009F24B2">
      <w:pPr>
        <w:pStyle w:val="Paragraphedeliste"/>
        <w:numPr>
          <w:ilvl w:val="0"/>
          <w:numId w:val="7"/>
        </w:numPr>
      </w:pPr>
      <w:r w:rsidRPr="009F24B2">
        <w:rPr>
          <w:b/>
          <w:bCs/>
        </w:rPr>
        <w:t>Image positive</w:t>
      </w:r>
      <w:r w:rsidRPr="009F24B2">
        <w:t> : politique sociale proactive, inclusive et locale.</w:t>
      </w:r>
    </w:p>
    <w:p w14:paraId="42E39118" w14:textId="46AE86C5" w:rsidR="009F24B2" w:rsidRPr="009F24B2" w:rsidRDefault="009F24B2" w:rsidP="009F24B2">
      <w:pPr>
        <w:pStyle w:val="Paragraphedeliste"/>
        <w:numPr>
          <w:ilvl w:val="0"/>
          <w:numId w:val="7"/>
        </w:numPr>
      </w:pPr>
      <w:r w:rsidRPr="009F24B2">
        <w:rPr>
          <w:b/>
          <w:bCs/>
        </w:rPr>
        <w:t>Aides en nature</w:t>
      </w:r>
      <w:r w:rsidRPr="009F24B2">
        <w:t> : pas de budget obligatoire après la constitution — juste un cadre de collaboration.</w:t>
      </w:r>
    </w:p>
    <w:p w14:paraId="2F422D32" w14:textId="77777777" w:rsidR="009F24B2" w:rsidRPr="009F24B2" w:rsidRDefault="00B14980" w:rsidP="009F24B2">
      <w:r>
        <w:pict w14:anchorId="6E077E2B">
          <v:rect id="_x0000_i1027" style="width:0;height:0" o:hrstd="t" o:hr="t" fillcolor="#a0a0a0" stroked="f"/>
        </w:pict>
      </w:r>
    </w:p>
    <w:p w14:paraId="18CCAB16" w14:textId="77777777" w:rsidR="009F24B2" w:rsidRPr="009F24B2" w:rsidRDefault="009F24B2" w:rsidP="009F24B2">
      <w:pPr>
        <w:rPr>
          <w:b/>
          <w:bCs/>
          <w:sz w:val="24"/>
        </w:rPr>
      </w:pPr>
      <w:r w:rsidRPr="009F24B2">
        <w:rPr>
          <w:b/>
          <w:bCs/>
          <w:sz w:val="24"/>
        </w:rPr>
        <w:t>3. Décision à prendre maintenant</w:t>
      </w:r>
    </w:p>
    <w:p w14:paraId="7ECC2F40" w14:textId="77777777" w:rsidR="009F24B2" w:rsidRPr="009F24B2" w:rsidRDefault="009F24B2" w:rsidP="009F24B2">
      <w:r w:rsidRPr="009F24B2">
        <w:t>Le Conseil communal est invité à adopter les éléments suivants :</w:t>
      </w:r>
    </w:p>
    <w:p w14:paraId="7A3D964B" w14:textId="77777777" w:rsidR="009F24B2" w:rsidRPr="009F24B2" w:rsidRDefault="009F24B2" w:rsidP="009F24B2">
      <w:pPr>
        <w:spacing w:after="0"/>
        <w:ind w:left="708"/>
        <w:rPr>
          <w:b/>
          <w:bCs/>
        </w:rPr>
      </w:pPr>
      <w:r w:rsidRPr="009F24B2">
        <w:rPr>
          <w:b/>
          <w:bCs/>
        </w:rPr>
        <w:t>a. Acceptation d’organiser une séance d’information</w:t>
      </w:r>
    </w:p>
    <w:p w14:paraId="27BBB8C1" w14:textId="5E5F3724" w:rsidR="009F24B2" w:rsidRPr="009F24B2" w:rsidRDefault="009F24B2" w:rsidP="009F24B2">
      <w:pPr>
        <w:ind w:left="1416"/>
      </w:pPr>
      <w:r w:rsidRPr="009F24B2">
        <w:rPr>
          <w:b/>
          <w:bCs/>
        </w:rPr>
        <w:t>Objectif</w:t>
      </w:r>
      <w:r w:rsidRPr="009F24B2">
        <w:t> : informer les aînés et identifier les volontaires pour un pré-comité, en vue de la création d’une association intercommunale.</w:t>
      </w:r>
      <w:r w:rsidRPr="009F24B2">
        <w:br/>
      </w:r>
      <w:r w:rsidRPr="009F24B2">
        <w:rPr>
          <w:b/>
          <w:bCs/>
        </w:rPr>
        <w:t>Lieu proposé</w:t>
      </w:r>
      <w:r w:rsidRPr="009F24B2">
        <w:t xml:space="preserve"> : </w:t>
      </w:r>
      <w:r w:rsidRPr="009F24B2">
        <w:rPr>
          <w:color w:val="538135" w:themeColor="accent6" w:themeShade="BF"/>
        </w:rPr>
        <w:t>XXX</w:t>
      </w:r>
      <w:r w:rsidRPr="009F24B2">
        <w:br/>
      </w:r>
      <w:r w:rsidRPr="009F24B2">
        <w:rPr>
          <w:b/>
          <w:bCs/>
        </w:rPr>
        <w:t>Date</w:t>
      </w:r>
      <w:r>
        <w:rPr>
          <w:b/>
          <w:bCs/>
        </w:rPr>
        <w:t xml:space="preserve"> et heure</w:t>
      </w:r>
      <w:r w:rsidRPr="009F24B2">
        <w:rPr>
          <w:b/>
          <w:bCs/>
        </w:rPr>
        <w:t xml:space="preserve"> proposée</w:t>
      </w:r>
      <w:r>
        <w:rPr>
          <w:b/>
          <w:bCs/>
        </w:rPr>
        <w:t>s</w:t>
      </w:r>
      <w:r w:rsidRPr="009F24B2">
        <w:t xml:space="preserve"> : </w:t>
      </w:r>
      <w:r w:rsidRPr="009F24B2">
        <w:rPr>
          <w:color w:val="538135" w:themeColor="accent6" w:themeShade="BF"/>
        </w:rPr>
        <w:t>XXX</w:t>
      </w:r>
    </w:p>
    <w:p w14:paraId="67AB812E" w14:textId="77777777" w:rsidR="009F24B2" w:rsidRPr="009F24B2" w:rsidRDefault="009F24B2" w:rsidP="009F24B2">
      <w:pPr>
        <w:spacing w:after="0"/>
        <w:ind w:left="708"/>
        <w:rPr>
          <w:b/>
          <w:bCs/>
        </w:rPr>
      </w:pPr>
      <w:r w:rsidRPr="009F24B2">
        <w:rPr>
          <w:b/>
          <w:bCs/>
        </w:rPr>
        <w:t>b. Nomination d’un groupe de travail informel</w:t>
      </w:r>
    </w:p>
    <w:p w14:paraId="39879CF9" w14:textId="2BA5DA8D" w:rsidR="009F24B2" w:rsidRPr="009F24B2" w:rsidRDefault="009F24B2" w:rsidP="009F24B2">
      <w:pPr>
        <w:spacing w:after="0"/>
        <w:ind w:left="708" w:firstLine="357"/>
      </w:pPr>
      <w:r w:rsidRPr="009F24B2">
        <w:rPr>
          <w:b/>
          <w:bCs/>
        </w:rPr>
        <w:t>Composition</w:t>
      </w:r>
      <w:r w:rsidRPr="009F24B2">
        <w:t xml:space="preserve"> : </w:t>
      </w:r>
      <w:r w:rsidRPr="009F24B2">
        <w:rPr>
          <w:color w:val="538135" w:themeColor="accent6" w:themeShade="BF"/>
        </w:rPr>
        <w:t>par ex. 3 élus (1 par commune), en charge du social</w:t>
      </w:r>
      <w:r w:rsidRPr="009F24B2">
        <w:rPr>
          <w:color w:val="000000" w:themeColor="text1"/>
        </w:rPr>
        <w:t xml:space="preserve">, chargés de </w:t>
      </w:r>
      <w:r w:rsidRPr="009F24B2">
        <w:t>:</w:t>
      </w:r>
    </w:p>
    <w:p w14:paraId="229DDF70" w14:textId="77777777" w:rsidR="009F24B2" w:rsidRPr="009F24B2" w:rsidRDefault="009F24B2" w:rsidP="009F24B2">
      <w:pPr>
        <w:numPr>
          <w:ilvl w:val="0"/>
          <w:numId w:val="2"/>
        </w:numPr>
        <w:tabs>
          <w:tab w:val="clear" w:pos="720"/>
        </w:tabs>
        <w:spacing w:after="0"/>
        <w:ind w:left="1701"/>
      </w:pPr>
      <w:r w:rsidRPr="009F24B2">
        <w:t>Coordonner l’organisation de la séance ;</w:t>
      </w:r>
    </w:p>
    <w:p w14:paraId="1D91A382" w14:textId="13E6981F" w:rsidR="009F24B2" w:rsidRPr="009F24B2" w:rsidRDefault="009F24B2" w:rsidP="009F24B2">
      <w:pPr>
        <w:numPr>
          <w:ilvl w:val="0"/>
          <w:numId w:val="2"/>
        </w:numPr>
        <w:tabs>
          <w:tab w:val="clear" w:pos="720"/>
        </w:tabs>
        <w:spacing w:after="0"/>
        <w:ind w:left="1701"/>
      </w:pPr>
      <w:r w:rsidRPr="009F24B2">
        <w:t xml:space="preserve">Suivre le pré-comité jusqu’à la constitution </w:t>
      </w:r>
      <w:r>
        <w:t>(adapter le modèle de contrat de prestations</w:t>
      </w:r>
      <w:proofErr w:type="gramStart"/>
      <w:r>
        <w:t>)</w:t>
      </w:r>
      <w:r w:rsidRPr="009F24B2">
        <w:t>;</w:t>
      </w:r>
      <w:proofErr w:type="gramEnd"/>
    </w:p>
    <w:p w14:paraId="15B003D3" w14:textId="77777777" w:rsidR="009F24B2" w:rsidRPr="009F24B2" w:rsidRDefault="009F24B2" w:rsidP="009F24B2">
      <w:pPr>
        <w:ind w:left="708" w:firstLine="633"/>
      </w:pPr>
      <w:r w:rsidRPr="009F24B2">
        <w:rPr>
          <w:i/>
          <w:iCs/>
        </w:rPr>
        <w:lastRenderedPageBreak/>
        <w:t>Pas de création de commission officielle — travail informel et agile.</w:t>
      </w:r>
    </w:p>
    <w:p w14:paraId="1C8F79EA" w14:textId="77777777" w:rsidR="009F24B2" w:rsidRPr="009F24B2" w:rsidRDefault="009F24B2" w:rsidP="009F24B2">
      <w:pPr>
        <w:spacing w:after="0"/>
        <w:ind w:left="708"/>
        <w:rPr>
          <w:b/>
          <w:bCs/>
        </w:rPr>
      </w:pPr>
      <w:r w:rsidRPr="009F24B2">
        <w:rPr>
          <w:b/>
          <w:bCs/>
        </w:rPr>
        <w:t>c. Validation du budget de lancement</w:t>
      </w:r>
    </w:p>
    <w:p w14:paraId="4744CBB1" w14:textId="15541D28" w:rsidR="009F24B2" w:rsidRPr="009F24B2" w:rsidRDefault="009F24B2" w:rsidP="009F24B2">
      <w:pPr>
        <w:spacing w:after="0"/>
        <w:ind w:left="1068"/>
      </w:pPr>
      <w:r w:rsidRPr="009F24B2">
        <w:rPr>
          <w:b/>
          <w:bCs/>
        </w:rPr>
        <w:t>Montant</w:t>
      </w:r>
      <w:r w:rsidRPr="009F24B2">
        <w:t xml:space="preserve"> : </w:t>
      </w:r>
      <w:r w:rsidR="00C3081C" w:rsidRPr="00C3081C">
        <w:rPr>
          <w:color w:val="538135" w:themeColor="accent6" w:themeShade="BF"/>
        </w:rPr>
        <w:t xml:space="preserve">par ex. </w:t>
      </w:r>
      <w:r w:rsidRPr="00C3081C">
        <w:rPr>
          <w:color w:val="538135" w:themeColor="accent6" w:themeShade="BF"/>
        </w:rPr>
        <w:t>1 000 CHF par commune (soit 3 000 CHF au total)</w:t>
      </w:r>
      <w:r w:rsidRPr="009F24B2">
        <w:br/>
      </w:r>
      <w:r w:rsidRPr="009F24B2">
        <w:rPr>
          <w:b/>
          <w:bCs/>
        </w:rPr>
        <w:t>Usage</w:t>
      </w:r>
      <w:r w:rsidRPr="009F24B2">
        <w:t> :</w:t>
      </w:r>
    </w:p>
    <w:p w14:paraId="35471C4B" w14:textId="77777777" w:rsidR="009F24B2" w:rsidRPr="009F24B2" w:rsidRDefault="009F24B2" w:rsidP="009F24B2">
      <w:pPr>
        <w:numPr>
          <w:ilvl w:val="0"/>
          <w:numId w:val="3"/>
        </w:numPr>
        <w:tabs>
          <w:tab w:val="clear" w:pos="720"/>
          <w:tab w:val="num" w:pos="1788"/>
        </w:tabs>
        <w:spacing w:after="0"/>
        <w:ind w:left="1788"/>
      </w:pPr>
      <w:r w:rsidRPr="009F24B2">
        <w:t>Couvrir les frais préparatoires (impressions, envois, location de salle, etc.) ;</w:t>
      </w:r>
    </w:p>
    <w:p w14:paraId="04153EAB" w14:textId="77777777" w:rsidR="009F24B2" w:rsidRPr="009F24B2" w:rsidRDefault="009F24B2" w:rsidP="009F24B2">
      <w:pPr>
        <w:numPr>
          <w:ilvl w:val="0"/>
          <w:numId w:val="3"/>
        </w:numPr>
        <w:tabs>
          <w:tab w:val="clear" w:pos="720"/>
          <w:tab w:val="num" w:pos="1788"/>
        </w:tabs>
        <w:spacing w:after="0"/>
        <w:ind w:left="1788"/>
      </w:pPr>
      <w:r w:rsidRPr="009F24B2">
        <w:t>Être versé à l’association après sa constitution (solde non utilisé).</w:t>
      </w:r>
    </w:p>
    <w:p w14:paraId="3E11DC4B" w14:textId="5C4DE640" w:rsidR="009F24B2" w:rsidRPr="009F24B2" w:rsidRDefault="009F24B2" w:rsidP="009F24B2">
      <w:pPr>
        <w:ind w:left="1416" w:firstLine="12"/>
      </w:pPr>
      <w:r w:rsidRPr="009F24B2">
        <w:rPr>
          <w:i/>
          <w:iCs/>
        </w:rPr>
        <w:t xml:space="preserve">Tous les frais engagés par une commune avant la constitution seront remboursés sur </w:t>
      </w:r>
      <w:r w:rsidR="00B14980">
        <w:rPr>
          <w:i/>
          <w:iCs/>
        </w:rPr>
        <w:t>la base d’un décompte</w:t>
      </w:r>
      <w:bookmarkStart w:id="0" w:name="_GoBack"/>
      <w:bookmarkEnd w:id="0"/>
      <w:r w:rsidRPr="009F24B2">
        <w:rPr>
          <w:i/>
          <w:iCs/>
        </w:rPr>
        <w:t>.</w:t>
      </w:r>
    </w:p>
    <w:p w14:paraId="4E3D0F99" w14:textId="77777777" w:rsidR="009F24B2" w:rsidRPr="009F24B2" w:rsidRDefault="00B14980" w:rsidP="009F24B2">
      <w:r>
        <w:pict w14:anchorId="308035BA">
          <v:rect id="_x0000_i1028" style="width:0;height:0" o:hrstd="t" o:hr="t" fillcolor="#a0a0a0" stroked="f"/>
        </w:pict>
      </w:r>
    </w:p>
    <w:p w14:paraId="178C3F12" w14:textId="77777777" w:rsidR="009F24B2" w:rsidRPr="009F24B2" w:rsidRDefault="009F24B2" w:rsidP="009F24B2">
      <w:pPr>
        <w:rPr>
          <w:b/>
          <w:bCs/>
          <w:sz w:val="24"/>
        </w:rPr>
      </w:pPr>
      <w:r w:rsidRPr="009F24B2">
        <w:rPr>
          <w:b/>
          <w:bCs/>
          <w:sz w:val="24"/>
        </w:rPr>
        <w:t>4. Suites</w:t>
      </w:r>
    </w:p>
    <w:p w14:paraId="7A5C4AE3" w14:textId="77777777" w:rsidR="009F24B2" w:rsidRPr="009F24B2" w:rsidRDefault="009F24B2" w:rsidP="009F24B2">
      <w:pPr>
        <w:spacing w:after="0"/>
        <w:ind w:left="708" w:hanging="282"/>
        <w:rPr>
          <w:b/>
          <w:bCs/>
        </w:rPr>
      </w:pPr>
      <w:r w:rsidRPr="009F24B2">
        <w:rPr>
          <w:b/>
          <w:bCs/>
        </w:rPr>
        <w:t>a. Organisation de la séance d’information</w:t>
      </w:r>
    </w:p>
    <w:p w14:paraId="41B1CCE4" w14:textId="77777777" w:rsidR="009F24B2" w:rsidRPr="009F24B2" w:rsidRDefault="009F24B2" w:rsidP="009F24B2">
      <w:pPr>
        <w:spacing w:after="0"/>
        <w:ind w:left="708"/>
      </w:pPr>
      <w:r w:rsidRPr="009F24B2">
        <w:t xml:space="preserve">Le groupe de travail, avec le soutien de </w:t>
      </w:r>
      <w:proofErr w:type="gramStart"/>
      <w:r w:rsidRPr="009F24B2">
        <w:t>Jb.B</w:t>
      </w:r>
      <w:proofErr w:type="gramEnd"/>
      <w:r w:rsidRPr="009F24B2">
        <w:t>, utilise les modèles disponibles :</w:t>
      </w:r>
    </w:p>
    <w:p w14:paraId="5D0E2C5B" w14:textId="77777777" w:rsidR="009F24B2" w:rsidRPr="009F24B2" w:rsidRDefault="009F24B2" w:rsidP="009F24B2">
      <w:pPr>
        <w:numPr>
          <w:ilvl w:val="0"/>
          <w:numId w:val="4"/>
        </w:numPr>
        <w:tabs>
          <w:tab w:val="clear" w:pos="720"/>
          <w:tab w:val="num" w:pos="1428"/>
        </w:tabs>
        <w:spacing w:after="0"/>
        <w:ind w:left="1428"/>
      </w:pPr>
      <w:r w:rsidRPr="009F24B2">
        <w:t>Lettre d’invitation aux retraités ;</w:t>
      </w:r>
    </w:p>
    <w:p w14:paraId="03C87D9F" w14:textId="77777777" w:rsidR="009F24B2" w:rsidRPr="009F24B2" w:rsidRDefault="009F24B2" w:rsidP="009F24B2">
      <w:pPr>
        <w:numPr>
          <w:ilvl w:val="0"/>
          <w:numId w:val="4"/>
        </w:numPr>
        <w:tabs>
          <w:tab w:val="clear" w:pos="720"/>
          <w:tab w:val="num" w:pos="1428"/>
        </w:tabs>
        <w:spacing w:after="0"/>
        <w:ind w:left="1428"/>
      </w:pPr>
      <w:r w:rsidRPr="009F24B2">
        <w:t>Sondage pour identifier les intérêts ;</w:t>
      </w:r>
    </w:p>
    <w:p w14:paraId="3D87F914" w14:textId="77777777" w:rsidR="009F24B2" w:rsidRPr="009F24B2" w:rsidRDefault="009F24B2" w:rsidP="009F24B2">
      <w:pPr>
        <w:numPr>
          <w:ilvl w:val="0"/>
          <w:numId w:val="4"/>
        </w:numPr>
        <w:tabs>
          <w:tab w:val="clear" w:pos="720"/>
          <w:tab w:val="num" w:pos="1428"/>
        </w:tabs>
        <w:spacing w:after="0"/>
        <w:ind w:left="1428"/>
      </w:pPr>
      <w:r w:rsidRPr="009F24B2">
        <w:t>Présentation pour la séance ;</w:t>
      </w:r>
    </w:p>
    <w:p w14:paraId="246B5693" w14:textId="04454696" w:rsidR="009F24B2" w:rsidRDefault="009F24B2" w:rsidP="009F24B2">
      <w:pPr>
        <w:numPr>
          <w:ilvl w:val="0"/>
          <w:numId w:val="4"/>
        </w:numPr>
        <w:tabs>
          <w:tab w:val="clear" w:pos="720"/>
          <w:tab w:val="num" w:pos="1428"/>
        </w:tabs>
        <w:spacing w:after="0"/>
        <w:ind w:left="1428"/>
      </w:pPr>
      <w:r w:rsidRPr="009F24B2">
        <w:t>Formulaire d’inscription au pré-comité.</w:t>
      </w:r>
    </w:p>
    <w:p w14:paraId="70B18E1B" w14:textId="77777777" w:rsidR="009F24B2" w:rsidRPr="009F24B2" w:rsidRDefault="009F24B2" w:rsidP="009F24B2">
      <w:pPr>
        <w:spacing w:after="0"/>
      </w:pPr>
    </w:p>
    <w:p w14:paraId="44E504DE" w14:textId="77777777" w:rsidR="009F24B2" w:rsidRPr="009F24B2" w:rsidRDefault="009F24B2" w:rsidP="009F24B2">
      <w:pPr>
        <w:spacing w:after="0"/>
        <w:ind w:firstLine="426"/>
        <w:rPr>
          <w:b/>
          <w:bCs/>
        </w:rPr>
      </w:pPr>
      <w:r w:rsidRPr="009F24B2">
        <w:rPr>
          <w:b/>
          <w:bCs/>
        </w:rPr>
        <w:t>b. Transition vers l’autonomie</w:t>
      </w:r>
    </w:p>
    <w:p w14:paraId="20F88CB8" w14:textId="40590FAD" w:rsidR="009F24B2" w:rsidRPr="009F24B2" w:rsidRDefault="009F24B2" w:rsidP="009F24B2">
      <w:pPr>
        <w:spacing w:after="0"/>
        <w:ind w:left="708"/>
      </w:pPr>
      <w:r w:rsidRPr="009F24B2">
        <w:t>Une fois la séance réalisée, le </w:t>
      </w:r>
      <w:r w:rsidRPr="009F24B2">
        <w:rPr>
          <w:b/>
          <w:bCs/>
        </w:rPr>
        <w:t>pré-comité</w:t>
      </w:r>
      <w:r w:rsidRPr="009F24B2">
        <w:t> (composé des bénévoles intéressés)</w:t>
      </w:r>
      <w:r w:rsidR="009C10A1">
        <w:t xml:space="preserve"> et avec le soutien de </w:t>
      </w:r>
      <w:proofErr w:type="gramStart"/>
      <w:r w:rsidR="009C10A1">
        <w:t>Jb.B</w:t>
      </w:r>
      <w:proofErr w:type="gramEnd"/>
      <w:r w:rsidRPr="009F24B2">
        <w:t xml:space="preserve"> :</w:t>
      </w:r>
    </w:p>
    <w:p w14:paraId="7A3B4109" w14:textId="77777777" w:rsidR="009F24B2" w:rsidRPr="009F24B2" w:rsidRDefault="009F24B2" w:rsidP="009F24B2">
      <w:pPr>
        <w:numPr>
          <w:ilvl w:val="0"/>
          <w:numId w:val="5"/>
        </w:numPr>
        <w:tabs>
          <w:tab w:val="clear" w:pos="720"/>
          <w:tab w:val="num" w:pos="1428"/>
        </w:tabs>
        <w:spacing w:after="0"/>
        <w:ind w:left="1428"/>
      </w:pPr>
      <w:r w:rsidRPr="009F24B2">
        <w:t>Rédige les statuts ;</w:t>
      </w:r>
    </w:p>
    <w:p w14:paraId="4E3B0070" w14:textId="77777777" w:rsidR="009F24B2" w:rsidRPr="009F24B2" w:rsidRDefault="009F24B2" w:rsidP="009F24B2">
      <w:pPr>
        <w:numPr>
          <w:ilvl w:val="0"/>
          <w:numId w:val="5"/>
        </w:numPr>
        <w:tabs>
          <w:tab w:val="clear" w:pos="720"/>
          <w:tab w:val="num" w:pos="1428"/>
        </w:tabs>
        <w:spacing w:after="0"/>
        <w:ind w:left="1428"/>
      </w:pPr>
      <w:r w:rsidRPr="009F24B2">
        <w:t>Prépare la constitution de l’association ;</w:t>
      </w:r>
    </w:p>
    <w:p w14:paraId="488CA06E" w14:textId="4C49701C" w:rsidR="009F24B2" w:rsidRDefault="009F24B2" w:rsidP="009F24B2">
      <w:pPr>
        <w:numPr>
          <w:ilvl w:val="0"/>
          <w:numId w:val="5"/>
        </w:numPr>
        <w:tabs>
          <w:tab w:val="clear" w:pos="720"/>
          <w:tab w:val="num" w:pos="1428"/>
        </w:tabs>
        <w:spacing w:after="0"/>
        <w:ind w:left="1422" w:hanging="357"/>
      </w:pPr>
      <w:r w:rsidRPr="009F24B2">
        <w:t>Élabore un projet d’activité.</w:t>
      </w:r>
    </w:p>
    <w:p w14:paraId="385EBE69" w14:textId="61F71BE8" w:rsidR="009F24B2" w:rsidRPr="009F24B2" w:rsidRDefault="009F24B2" w:rsidP="009F24B2">
      <w:pPr>
        <w:numPr>
          <w:ilvl w:val="0"/>
          <w:numId w:val="5"/>
        </w:numPr>
        <w:tabs>
          <w:tab w:val="clear" w:pos="720"/>
          <w:tab w:val="num" w:pos="1428"/>
        </w:tabs>
        <w:ind w:left="1428"/>
      </w:pPr>
      <w:r>
        <w:t>Propose une version adaptée du modèle de contrat de prestations</w:t>
      </w:r>
    </w:p>
    <w:p w14:paraId="55F36A56" w14:textId="37294540" w:rsidR="009F24B2" w:rsidRPr="009F24B2" w:rsidRDefault="009F24B2" w:rsidP="009F24B2">
      <w:pPr>
        <w:ind w:left="708"/>
      </w:pPr>
      <w:r w:rsidRPr="009F24B2">
        <w:t xml:space="preserve">Les </w:t>
      </w:r>
      <w:r>
        <w:t xml:space="preserve">membres du groupe de travail regroupant les autorités communales, seront invités à </w:t>
      </w:r>
      <w:proofErr w:type="spellStart"/>
      <w:r>
        <w:t>co-adapter</w:t>
      </w:r>
      <w:proofErr w:type="spellEnd"/>
      <w:r>
        <w:t xml:space="preserve"> le</w:t>
      </w:r>
      <w:r w:rsidRPr="009F24B2">
        <w:t> </w:t>
      </w:r>
      <w:r w:rsidRPr="009F24B2">
        <w:rPr>
          <w:b/>
          <w:bCs/>
        </w:rPr>
        <w:t>contrat de prestations</w:t>
      </w:r>
      <w:r w:rsidRPr="009F24B2">
        <w:t> (non financier, mais fixant les aides en nature : salle, communication, accompagnement technique, etc.).</w:t>
      </w:r>
    </w:p>
    <w:p w14:paraId="562486CA" w14:textId="77777777" w:rsidR="009F24B2" w:rsidRPr="009F24B2" w:rsidRDefault="00B14980" w:rsidP="009F24B2">
      <w:r>
        <w:pict w14:anchorId="6D21CEEF">
          <v:rect id="_x0000_i1029" style="width:0;height:0" o:hrstd="t" o:hr="t" fillcolor="#a0a0a0" stroked="f"/>
        </w:pict>
      </w:r>
    </w:p>
    <w:p w14:paraId="5253E7BF" w14:textId="4F6CB175" w:rsidR="009F24B2" w:rsidRPr="009F24B2" w:rsidRDefault="009F24B2" w:rsidP="009F24B2">
      <w:r w:rsidRPr="009C10A1">
        <w:rPr>
          <w:b/>
          <w:bCs/>
          <w:color w:val="538135" w:themeColor="accent6" w:themeShade="BF"/>
        </w:rPr>
        <w:t xml:space="preserve">Signature </w:t>
      </w:r>
      <w:r w:rsidRPr="009F24B2">
        <w:br/>
      </w:r>
    </w:p>
    <w:p w14:paraId="6AA7BAD7" w14:textId="77777777" w:rsidR="00445E44" w:rsidRDefault="00445E44"/>
    <w:sectPr w:rsidR="00445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85EAB"/>
    <w:multiLevelType w:val="multilevel"/>
    <w:tmpl w:val="191E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0A5671"/>
    <w:multiLevelType w:val="hybridMultilevel"/>
    <w:tmpl w:val="C5E68A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879DA"/>
    <w:multiLevelType w:val="multilevel"/>
    <w:tmpl w:val="D69A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AF58A3"/>
    <w:multiLevelType w:val="multilevel"/>
    <w:tmpl w:val="6EC4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7E596B"/>
    <w:multiLevelType w:val="multilevel"/>
    <w:tmpl w:val="39DA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A27CDC"/>
    <w:multiLevelType w:val="multilevel"/>
    <w:tmpl w:val="C9DE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7B5286"/>
    <w:multiLevelType w:val="multilevel"/>
    <w:tmpl w:val="66AE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B1"/>
    <w:rsid w:val="00445E44"/>
    <w:rsid w:val="009C10A1"/>
    <w:rsid w:val="009F24B2"/>
    <w:rsid w:val="00B14980"/>
    <w:rsid w:val="00B706B1"/>
    <w:rsid w:val="00C3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29ED5D6F"/>
  <w15:chartTrackingRefBased/>
  <w15:docId w15:val="{0CB7ADB9-6F2B-4B27-BC50-3421E568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2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051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6133656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752865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8332392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58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7365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0024015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3766267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9035075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Beer</dc:creator>
  <cp:keywords/>
  <dc:description/>
  <cp:lastModifiedBy>Denis Beer</cp:lastModifiedBy>
  <cp:revision>2</cp:revision>
  <dcterms:created xsi:type="dcterms:W3CDTF">2026-02-10T07:19:00Z</dcterms:created>
  <dcterms:modified xsi:type="dcterms:W3CDTF">2026-02-10T07:19:00Z</dcterms:modified>
</cp:coreProperties>
</file>